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71" w:rsidRPr="006E5BEE" w:rsidRDefault="00F16571" w:rsidP="00F16571">
      <w:pPr>
        <w:pStyle w:val="2"/>
        <w:shd w:val="clear" w:color="auto" w:fill="FFFFFF"/>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Постановление Правительства РФ от 20 июня 2020 г. № 900 "О внесении изменений в государственную</w:t>
      </w:r>
      <w:r w:rsidRPr="006E5BEE">
        <w:rPr>
          <w:rFonts w:ascii="Arial" w:hAnsi="Arial" w:cs="Arial"/>
          <w:color w:val="4D4D4D"/>
          <w:sz w:val="27"/>
          <w:szCs w:val="27"/>
        </w:rPr>
        <w:t> программу Российской Федерации "Развитие образования"</w:t>
      </w:r>
    </w:p>
    <w:p w:rsidR="00F16571" w:rsidRPr="006E5BEE" w:rsidRDefault="00F16571" w:rsidP="00F16571">
      <w:pPr>
        <w:shd w:val="clear" w:color="auto" w:fill="FFFFFF"/>
        <w:spacing w:after="180" w:line="240" w:lineRule="auto"/>
        <w:rPr>
          <w:rFonts w:ascii="Arial" w:eastAsia="Times New Roman" w:hAnsi="Arial" w:cs="Arial"/>
          <w:color w:val="333333"/>
          <w:sz w:val="21"/>
          <w:szCs w:val="21"/>
        </w:rPr>
      </w:pPr>
      <w:r w:rsidRPr="006E5BEE">
        <w:rPr>
          <w:rFonts w:ascii="Arial" w:eastAsia="Times New Roman" w:hAnsi="Arial" w:cs="Arial"/>
          <w:color w:val="333333"/>
          <w:sz w:val="21"/>
          <w:szCs w:val="21"/>
        </w:rPr>
        <w:t>25 июня 2020</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bookmarkStart w:id="0" w:name="0"/>
      <w:bookmarkEnd w:id="0"/>
      <w:r w:rsidRPr="006E5BEE">
        <w:rPr>
          <w:rFonts w:ascii="Arial" w:eastAsia="Times New Roman" w:hAnsi="Arial" w:cs="Arial"/>
          <w:color w:val="333333"/>
          <w:sz w:val="23"/>
          <w:szCs w:val="23"/>
        </w:rPr>
        <w:t>Правительство Российской Федерации постановляет:</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 Утвердить прилагаемые </w:t>
      </w:r>
      <w:hyperlink r:id="rId4" w:anchor="1000" w:history="1">
        <w:r w:rsidRPr="006E5BEE">
          <w:rPr>
            <w:rFonts w:ascii="Arial" w:eastAsia="Times New Roman" w:hAnsi="Arial" w:cs="Arial"/>
            <w:color w:val="808080"/>
            <w:sz w:val="23"/>
            <w:u w:val="single"/>
          </w:rPr>
          <w:t>изменения</w:t>
        </w:r>
      </w:hyperlink>
      <w:r w:rsidRPr="006E5BEE">
        <w:rPr>
          <w:rFonts w:ascii="Arial" w:eastAsia="Times New Roman" w:hAnsi="Arial" w:cs="Arial"/>
          <w:color w:val="333333"/>
          <w:sz w:val="23"/>
          <w:szCs w:val="23"/>
        </w:rPr>
        <w:t>,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N 14, ст. 2128; N 15, ст. 2301; N 22, ст. 3488).</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2. Установить, что в 2020 году расчет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для обучающихся в 1-х классах, 88 дням при 6-дневной учебной неделе и 72 дням при 5-дневной учебной неделе для обучающихся во 2 - 4-х классах.</w:t>
      </w:r>
    </w:p>
    <w:tbl>
      <w:tblPr>
        <w:tblW w:w="0" w:type="auto"/>
        <w:tblCellMar>
          <w:top w:w="15" w:type="dxa"/>
          <w:left w:w="15" w:type="dxa"/>
          <w:bottom w:w="15" w:type="dxa"/>
          <w:right w:w="15" w:type="dxa"/>
        </w:tblCellMar>
        <w:tblLook w:val="04A0"/>
      </w:tblPr>
      <w:tblGrid>
        <w:gridCol w:w="3008"/>
        <w:gridCol w:w="3008"/>
      </w:tblGrid>
      <w:tr w:rsidR="00F16571" w:rsidRPr="006E5BEE" w:rsidTr="00BF37A1">
        <w:tc>
          <w:tcPr>
            <w:tcW w:w="2500" w:type="pct"/>
            <w:hideMark/>
          </w:tcPr>
          <w:p w:rsidR="00F16571" w:rsidRPr="006E5BEE" w:rsidRDefault="00F16571" w:rsidP="00BF37A1">
            <w:pPr>
              <w:spacing w:after="0" w:line="240" w:lineRule="auto"/>
              <w:rPr>
                <w:rFonts w:ascii="Times New Roman" w:eastAsia="Times New Roman" w:hAnsi="Times New Roman" w:cs="Times New Roman"/>
                <w:sz w:val="24"/>
                <w:szCs w:val="24"/>
              </w:rPr>
            </w:pPr>
            <w:r w:rsidRPr="006E5BEE">
              <w:rPr>
                <w:rFonts w:ascii="Times New Roman" w:eastAsia="Times New Roman" w:hAnsi="Times New Roman" w:cs="Times New Roman"/>
                <w:sz w:val="24"/>
                <w:szCs w:val="24"/>
              </w:rPr>
              <w:t>Председатель Правительства</w:t>
            </w:r>
            <w:r w:rsidRPr="006E5BEE">
              <w:rPr>
                <w:rFonts w:ascii="Times New Roman" w:eastAsia="Times New Roman" w:hAnsi="Times New Roman" w:cs="Times New Roman"/>
                <w:sz w:val="24"/>
                <w:szCs w:val="24"/>
              </w:rPr>
              <w:br/>
              <w:t>Российской Федерации</w:t>
            </w:r>
          </w:p>
        </w:tc>
        <w:tc>
          <w:tcPr>
            <w:tcW w:w="2500" w:type="pct"/>
            <w:hideMark/>
          </w:tcPr>
          <w:p w:rsidR="00F16571" w:rsidRPr="006E5BEE" w:rsidRDefault="00F16571" w:rsidP="00BF37A1">
            <w:pPr>
              <w:spacing w:after="0" w:line="240" w:lineRule="auto"/>
              <w:rPr>
                <w:rFonts w:ascii="Times New Roman" w:eastAsia="Times New Roman" w:hAnsi="Times New Roman" w:cs="Times New Roman"/>
                <w:sz w:val="24"/>
                <w:szCs w:val="24"/>
              </w:rPr>
            </w:pPr>
            <w:r w:rsidRPr="006E5BEE">
              <w:rPr>
                <w:rFonts w:ascii="Times New Roman" w:eastAsia="Times New Roman" w:hAnsi="Times New Roman" w:cs="Times New Roman"/>
                <w:sz w:val="24"/>
                <w:szCs w:val="24"/>
              </w:rPr>
              <w:t>М. Мишустин</w:t>
            </w:r>
          </w:p>
        </w:tc>
      </w:tr>
    </w:tbl>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УТВЕРЖДЕНЫ</w:t>
      </w:r>
      <w:r w:rsidRPr="006E5BEE">
        <w:rPr>
          <w:rFonts w:ascii="Arial" w:eastAsia="Times New Roman" w:hAnsi="Arial" w:cs="Arial"/>
          <w:color w:val="333333"/>
          <w:sz w:val="23"/>
          <w:szCs w:val="23"/>
        </w:rPr>
        <w:br/>
      </w:r>
      <w:hyperlink r:id="rId5" w:anchor="0" w:history="1">
        <w:r w:rsidRPr="006E5BEE">
          <w:rPr>
            <w:rFonts w:ascii="Arial" w:eastAsia="Times New Roman" w:hAnsi="Arial" w:cs="Arial"/>
            <w:color w:val="808080"/>
            <w:sz w:val="23"/>
            <w:u w:val="single"/>
          </w:rPr>
          <w:t>постановлением</w:t>
        </w:r>
      </w:hyperlink>
      <w:r w:rsidRPr="006E5BEE">
        <w:rPr>
          <w:rFonts w:ascii="Arial" w:eastAsia="Times New Roman" w:hAnsi="Arial" w:cs="Arial"/>
          <w:color w:val="333333"/>
          <w:sz w:val="23"/>
          <w:szCs w:val="23"/>
        </w:rPr>
        <w:t> Правительства</w:t>
      </w:r>
      <w:r w:rsidRPr="006E5BEE">
        <w:rPr>
          <w:rFonts w:ascii="Arial" w:eastAsia="Times New Roman" w:hAnsi="Arial" w:cs="Arial"/>
          <w:color w:val="333333"/>
          <w:sz w:val="23"/>
          <w:szCs w:val="23"/>
        </w:rPr>
        <w:br/>
        <w:t>Российской Федерации</w:t>
      </w:r>
      <w:r w:rsidRPr="006E5BEE">
        <w:rPr>
          <w:rFonts w:ascii="Arial" w:eastAsia="Times New Roman" w:hAnsi="Arial" w:cs="Arial"/>
          <w:color w:val="333333"/>
          <w:sz w:val="23"/>
          <w:szCs w:val="23"/>
        </w:rPr>
        <w:br/>
        <w:t>от 20 июня 2020 г. N 900</w:t>
      </w:r>
    </w:p>
    <w:p w:rsidR="00F16571" w:rsidRPr="006E5BEE" w:rsidRDefault="00F16571" w:rsidP="00F16571">
      <w:pPr>
        <w:shd w:val="clear" w:color="auto" w:fill="FFFFFF"/>
        <w:spacing w:after="255" w:line="270" w:lineRule="atLeast"/>
        <w:outlineLvl w:val="2"/>
        <w:rPr>
          <w:rFonts w:ascii="Arial" w:eastAsia="Times New Roman" w:hAnsi="Arial" w:cs="Arial"/>
          <w:b/>
          <w:bCs/>
          <w:color w:val="333333"/>
          <w:sz w:val="26"/>
          <w:szCs w:val="26"/>
        </w:rPr>
      </w:pPr>
      <w:r w:rsidRPr="006E5BEE">
        <w:rPr>
          <w:rFonts w:ascii="Arial" w:eastAsia="Times New Roman" w:hAnsi="Arial" w:cs="Arial"/>
          <w:b/>
          <w:bCs/>
          <w:color w:val="333333"/>
          <w:sz w:val="26"/>
          <w:szCs w:val="26"/>
        </w:rPr>
        <w:t>Изменения,</w:t>
      </w:r>
      <w:r w:rsidRPr="006E5BEE">
        <w:rPr>
          <w:rFonts w:ascii="Arial" w:eastAsia="Times New Roman" w:hAnsi="Arial" w:cs="Arial"/>
          <w:b/>
          <w:bCs/>
          <w:color w:val="333333"/>
          <w:sz w:val="26"/>
          <w:szCs w:val="26"/>
        </w:rPr>
        <w:br/>
        <w:t>которые вносятся в государственную программу</w:t>
      </w:r>
      <w:r w:rsidRPr="006E5BEE">
        <w:rPr>
          <w:rFonts w:ascii="Arial" w:eastAsia="Times New Roman" w:hAnsi="Arial" w:cs="Arial"/>
          <w:b/>
          <w:bCs/>
          <w:color w:val="333333"/>
          <w:sz w:val="26"/>
          <w:szCs w:val="26"/>
        </w:rPr>
        <w:br/>
        <w:t>Российской Федерации "Развитие образования"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 Позицию паспорта Программы, касающуюся приложений к Программе, дополнить абзацем следующего содержания: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w:t>
      </w:r>
      <w:hyperlink r:id="rId6" w:anchor="29000" w:history="1">
        <w:r w:rsidRPr="006E5BEE">
          <w:rPr>
            <w:rFonts w:ascii="Arial" w:eastAsia="Times New Roman" w:hAnsi="Arial" w:cs="Arial"/>
            <w:color w:val="808080"/>
            <w:sz w:val="23"/>
            <w:u w:val="single"/>
          </w:rPr>
          <w:t>приложение N 29</w:t>
        </w:r>
      </w:hyperlink>
      <w:r w:rsidRPr="006E5BEE">
        <w:rPr>
          <w:rFonts w:ascii="Arial" w:eastAsia="Times New Roman" w:hAnsi="Arial" w:cs="Arial"/>
          <w:color w:val="333333"/>
          <w:sz w:val="23"/>
          <w:szCs w:val="23"/>
        </w:rPr>
        <w:t>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lastRenderedPageBreak/>
        <w:t>2. Дополнить приложением N 29 следующего содержания: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"ПРИЛОЖЕНИЕ N 29</w:t>
      </w:r>
      <w:r w:rsidRPr="006E5BEE">
        <w:rPr>
          <w:rFonts w:ascii="Arial" w:eastAsia="Times New Roman" w:hAnsi="Arial" w:cs="Arial"/>
          <w:color w:val="333333"/>
          <w:sz w:val="23"/>
          <w:szCs w:val="23"/>
        </w:rPr>
        <w:br/>
        <w:t>к государственной программе</w:t>
      </w:r>
      <w:r w:rsidRPr="006E5BEE">
        <w:rPr>
          <w:rFonts w:ascii="Arial" w:eastAsia="Times New Roman" w:hAnsi="Arial" w:cs="Arial"/>
          <w:color w:val="333333"/>
          <w:sz w:val="23"/>
          <w:szCs w:val="23"/>
        </w:rPr>
        <w:br/>
        <w:t>Российской Федерации</w:t>
      </w:r>
      <w:r w:rsidRPr="006E5BEE">
        <w:rPr>
          <w:rFonts w:ascii="Arial" w:eastAsia="Times New Roman" w:hAnsi="Arial" w:cs="Arial"/>
          <w:color w:val="333333"/>
          <w:sz w:val="23"/>
          <w:szCs w:val="23"/>
        </w:rPr>
        <w:br/>
        <w:t>"Развитие образования"</w:t>
      </w:r>
    </w:p>
    <w:p w:rsidR="00F16571" w:rsidRPr="006E5BEE" w:rsidRDefault="00F16571" w:rsidP="00F16571">
      <w:pPr>
        <w:shd w:val="clear" w:color="auto" w:fill="FFFFFF"/>
        <w:spacing w:after="255" w:line="270" w:lineRule="atLeast"/>
        <w:outlineLvl w:val="2"/>
        <w:rPr>
          <w:rFonts w:ascii="Arial" w:eastAsia="Times New Roman" w:hAnsi="Arial" w:cs="Arial"/>
          <w:b/>
          <w:bCs/>
          <w:color w:val="333333"/>
          <w:sz w:val="26"/>
          <w:szCs w:val="26"/>
        </w:rPr>
      </w:pPr>
      <w:r w:rsidRPr="006E5BEE">
        <w:rPr>
          <w:rFonts w:ascii="Arial" w:eastAsia="Times New Roman" w:hAnsi="Arial" w:cs="Arial"/>
          <w:b/>
          <w:bCs/>
          <w:color w:val="333333"/>
          <w:sz w:val="26"/>
          <w:szCs w:val="26"/>
        </w:rPr>
        <w:t>Правила</w:t>
      </w:r>
      <w:r w:rsidRPr="006E5BEE">
        <w:rPr>
          <w:rFonts w:ascii="Arial" w:eastAsia="Times New Roman" w:hAnsi="Arial" w:cs="Arial"/>
          <w:b/>
          <w:bCs/>
          <w:color w:val="333333"/>
          <w:sz w:val="26"/>
          <w:szCs w:val="26"/>
        </w:rPr>
        <w:br/>
        <w:t>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r:id="rId7" w:anchor="29001" w:history="1">
        <w:r w:rsidRPr="006E5BEE">
          <w:rPr>
            <w:rFonts w:ascii="Arial" w:eastAsia="Times New Roman" w:hAnsi="Arial" w:cs="Arial"/>
            <w:color w:val="808080"/>
            <w:sz w:val="23"/>
            <w:u w:val="single"/>
          </w:rPr>
          <w:t>пункте 1</w:t>
        </w:r>
      </w:hyperlink>
      <w:r w:rsidRPr="006E5BEE">
        <w:rPr>
          <w:rFonts w:ascii="Arial" w:eastAsia="Times New Roman" w:hAnsi="Arial" w:cs="Arial"/>
          <w:color w:val="333333"/>
          <w:sz w:val="23"/>
          <w:szCs w:val="23"/>
        </w:rPr>
        <w:t> настоящих Правил.</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3. Субсидии предоставляются при соблюдении следующих условий:</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rsidRPr="006E5BEE">
        <w:rPr>
          <w:rFonts w:ascii="Arial" w:eastAsia="Times New Roman" w:hAnsi="Arial" w:cs="Arial"/>
          <w:color w:val="333333"/>
          <w:sz w:val="23"/>
          <w:szCs w:val="23"/>
        </w:rPr>
        <w:lastRenderedPageBreak/>
        <w:t>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Критериями отбора субъектов Российской Федерации для предоставления субсидии являются: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5. Субъекты Российской Федерации, соответствующие критериям, установленным </w:t>
      </w:r>
      <w:hyperlink r:id="rId8" w:anchor="29004" w:history="1">
        <w:r w:rsidRPr="006E5BEE">
          <w:rPr>
            <w:rFonts w:ascii="Arial" w:eastAsia="Times New Roman" w:hAnsi="Arial" w:cs="Arial"/>
            <w:color w:val="808080"/>
            <w:sz w:val="23"/>
            <w:u w:val="single"/>
          </w:rPr>
          <w:t>пунктом 4</w:t>
        </w:r>
      </w:hyperlink>
      <w:r w:rsidRPr="006E5BEE">
        <w:rPr>
          <w:rFonts w:ascii="Arial" w:eastAsia="Times New Roman" w:hAnsi="Arial" w:cs="Arial"/>
          <w:color w:val="333333"/>
          <w:sz w:val="23"/>
          <w:szCs w:val="23"/>
        </w:rPr>
        <w:t>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6. Объем бюджетных ассигнований, предусмотренных в бюджете субъекта Российской Федерации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7. Размер субсидии, предоставляемой бюджету i-го субъекта Российской Федерации (S</w:t>
      </w:r>
      <w:r w:rsidRPr="006E5BEE">
        <w:rPr>
          <w:rFonts w:ascii="Arial" w:eastAsia="Times New Roman" w:hAnsi="Arial" w:cs="Arial"/>
          <w:color w:val="333333"/>
          <w:sz w:val="20"/>
          <w:szCs w:val="20"/>
          <w:vertAlign w:val="subscript"/>
        </w:rPr>
        <w:t>i</w:t>
      </w:r>
      <w:r w:rsidRPr="006E5BEE">
        <w:rPr>
          <w:rFonts w:ascii="Arial" w:eastAsia="Times New Roman" w:hAnsi="Arial" w:cs="Arial"/>
          <w:color w:val="333333"/>
          <w:sz w:val="23"/>
          <w:szCs w:val="23"/>
        </w:rPr>
        <w:t>), определяется по формуле: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1828800" cy="142875"/>
            <wp:effectExtent l="19050" t="0" r="0" b="0"/>
            <wp:docPr id="1" name="Рисунок 1" descr="https://www.garant.ru/files/9/9/1381499/pict12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9/9/1381499/pict124-74192718.jpg"/>
                    <pic:cNvPicPr>
                      <a:picLocks noChangeAspect="1" noChangeArrowheads="1"/>
                    </pic:cNvPicPr>
                  </pic:nvPicPr>
                  <pic:blipFill>
                    <a:blip r:embed="rId9"/>
                    <a:srcRect/>
                    <a:stretch>
                      <a:fillRect/>
                    </a:stretch>
                  </pic:blipFill>
                  <pic:spPr bwMode="auto">
                    <a:xfrm>
                      <a:off x="0" y="0"/>
                      <a:ext cx="1828800" cy="14287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где: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457200" cy="142875"/>
            <wp:effectExtent l="19050" t="0" r="0" b="0"/>
            <wp:docPr id="2" name="Рисунок 2" descr="https://www.garant.ru/files/9/9/1381499/pict125-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9/9/1381499/pict125-74192718.jpg"/>
                    <pic:cNvPicPr>
                      <a:picLocks noChangeAspect="1" noChangeArrowheads="1"/>
                    </pic:cNvPicPr>
                  </pic:nvPicPr>
                  <pic:blipFill>
                    <a:blip r:embed="rId10"/>
                    <a:srcRect/>
                    <a:stretch>
                      <a:fillRect/>
                    </a:stretch>
                  </pic:blipFill>
                  <pic:spPr bwMode="auto">
                    <a:xfrm>
                      <a:off x="0" y="0"/>
                      <a:ext cx="457200" cy="14287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число детодней для обучающихся по программам начального общего образования в i-м субъекте Российской Федерации, рассчитываемое в соответствии с </w:t>
      </w:r>
      <w:hyperlink r:id="rId11" w:anchor="29008" w:history="1">
        <w:r w:rsidRPr="006E5BEE">
          <w:rPr>
            <w:rFonts w:ascii="Arial" w:eastAsia="Times New Roman" w:hAnsi="Arial" w:cs="Arial"/>
            <w:color w:val="808080"/>
            <w:sz w:val="23"/>
            <w:u w:val="single"/>
          </w:rPr>
          <w:t>пунктом 8</w:t>
        </w:r>
      </w:hyperlink>
      <w:r w:rsidRPr="006E5BEE">
        <w:rPr>
          <w:rFonts w:ascii="Arial" w:eastAsia="Times New Roman" w:hAnsi="Arial" w:cs="Arial"/>
          <w:color w:val="333333"/>
          <w:sz w:val="23"/>
          <w:szCs w:val="23"/>
        </w:rPr>
        <w:t> настоящих Правил;</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247650" cy="104775"/>
            <wp:effectExtent l="19050" t="0" r="0" b="0"/>
            <wp:docPr id="3" name="Рисунок 3" descr="https://www.garant.ru/files/9/9/1381499/pict12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9/9/1381499/pict126-74192718.jpg"/>
                    <pic:cNvPicPr>
                      <a:picLocks noChangeAspect="1" noChangeArrowheads="1"/>
                    </pic:cNvPicPr>
                  </pic:nvPicPr>
                  <pic:blipFill>
                    <a:blip r:embed="rId12"/>
                    <a:srcRect/>
                    <a:stretch>
                      <a:fillRect/>
                    </a:stretch>
                  </pic:blipFill>
                  <pic:spPr bwMode="auto">
                    <a:xfrm>
                      <a:off x="0" y="0"/>
                      <a:ext cx="247650" cy="10477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561975" cy="142875"/>
            <wp:effectExtent l="19050" t="0" r="9525" b="0"/>
            <wp:docPr id="4" name="Рисунок 4" descr="https://www.garant.ru/files/9/9/1381499/pict127-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9/9/1381499/pict127-74192718.jpg"/>
                    <pic:cNvPicPr>
                      <a:picLocks noChangeAspect="1" noChangeArrowheads="1"/>
                    </pic:cNvPicPr>
                  </pic:nvPicPr>
                  <pic:blipFill>
                    <a:blip r:embed="rId13"/>
                    <a:srcRect/>
                    <a:stretch>
                      <a:fillRect/>
                    </a:stretch>
                  </pic:blipFill>
                  <pic:spPr bwMode="auto">
                    <a:xfrm>
                      <a:off x="0" y="0"/>
                      <a:ext cx="561975" cy="14287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r:id="rId14" w:anchor="29009" w:history="1">
        <w:r w:rsidRPr="006E5BEE">
          <w:rPr>
            <w:rFonts w:ascii="Arial" w:eastAsia="Times New Roman" w:hAnsi="Arial" w:cs="Arial"/>
            <w:color w:val="808080"/>
            <w:sz w:val="23"/>
            <w:u w:val="single"/>
          </w:rPr>
          <w:t>пунктом 9</w:t>
        </w:r>
      </w:hyperlink>
      <w:r w:rsidRPr="006E5BEE">
        <w:rPr>
          <w:rFonts w:ascii="Arial" w:eastAsia="Times New Roman" w:hAnsi="Arial" w:cs="Arial"/>
          <w:color w:val="333333"/>
          <w:sz w:val="23"/>
          <w:szCs w:val="23"/>
        </w:rPr>
        <w:t> настоящих Правил;</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Z</w:t>
      </w:r>
      <w:r w:rsidRPr="006E5BEE">
        <w:rPr>
          <w:rFonts w:ascii="Arial" w:eastAsia="Times New Roman" w:hAnsi="Arial" w:cs="Arial"/>
          <w:color w:val="333333"/>
          <w:sz w:val="20"/>
          <w:szCs w:val="20"/>
          <w:vertAlign w:val="subscript"/>
        </w:rPr>
        <w:t>i</w:t>
      </w:r>
      <w:r w:rsidRPr="006E5BEE">
        <w:rPr>
          <w:rFonts w:ascii="Arial" w:eastAsia="Times New Roman" w:hAnsi="Arial" w:cs="Arial"/>
          <w:color w:val="333333"/>
          <w:sz w:val="23"/>
          <w:szCs w:val="23"/>
        </w:rPr>
        <w:t> - предельный уровень софинансирования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8. Число детодней для обучающихся по программам начального общего образования в i-м субъекте Российской Федерации (</w:t>
      </w:r>
      <w:r>
        <w:rPr>
          <w:rFonts w:ascii="Arial" w:eastAsia="Times New Roman" w:hAnsi="Arial" w:cs="Arial"/>
          <w:noProof/>
          <w:color w:val="333333"/>
          <w:sz w:val="23"/>
          <w:szCs w:val="23"/>
        </w:rPr>
        <w:drawing>
          <wp:inline distT="0" distB="0" distL="0" distR="0">
            <wp:extent cx="800100" cy="228600"/>
            <wp:effectExtent l="19050" t="0" r="0" b="0"/>
            <wp:docPr id="5" name="Рисунок 5" descr="https://www.garant.ru/files/9/9/1381499/pict12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ant.ru/files/9/9/1381499/pict128-74192718.png"/>
                    <pic:cNvPicPr>
                      <a:picLocks noChangeAspect="1" noChangeArrowheads="1"/>
                    </pic:cNvPicPr>
                  </pic:nvPicPr>
                  <pic:blipFill>
                    <a:blip r:embed="rId15"/>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w:t>
      </w:r>
      <w:r>
        <w:rPr>
          <w:rFonts w:ascii="Arial" w:eastAsia="Times New Roman" w:hAnsi="Arial" w:cs="Arial"/>
          <w:noProof/>
          <w:color w:val="333333"/>
          <w:sz w:val="23"/>
          <w:szCs w:val="23"/>
        </w:rPr>
        <w:drawing>
          <wp:inline distT="0" distB="0" distL="0" distR="0">
            <wp:extent cx="457200" cy="133350"/>
            <wp:effectExtent l="19050" t="0" r="0" b="0"/>
            <wp:docPr id="6" name="Рисунок 6" descr="https://www.garant.ru/files/9/9/1381499/pict12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rant.ru/files/9/9/1381499/pict129-74192718.jpg"/>
                    <pic:cNvPicPr>
                      <a:picLocks noChangeAspect="1" noChangeArrowheads="1"/>
                    </pic:cNvPicPr>
                  </pic:nvPicPr>
                  <pic:blipFill>
                    <a:blip r:embed="rId16"/>
                    <a:srcRect/>
                    <a:stretch>
                      <a:fillRect/>
                    </a:stretch>
                  </pic:blipFill>
                  <pic:spPr bwMode="auto">
                    <a:xfrm>
                      <a:off x="0" y="0"/>
                      <a:ext cx="457200" cy="13335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определяется по формуле: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2895600" cy="219075"/>
            <wp:effectExtent l="19050" t="0" r="0" b="0"/>
            <wp:docPr id="7" name="Рисунок 7" descr="https://www.garant.ru/files/9/9/1381499/pict13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9/9/1381499/pict130-74192718.png"/>
                    <pic:cNvPicPr>
                      <a:picLocks noChangeAspect="1" noChangeArrowheads="1"/>
                    </pic:cNvPicPr>
                  </pic:nvPicPr>
                  <pic:blipFill>
                    <a:blip r:embed="rId17"/>
                    <a:srcRect/>
                    <a:stretch>
                      <a:fillRect/>
                    </a:stretch>
                  </pic:blipFill>
                  <pic:spPr bwMode="auto">
                    <a:xfrm>
                      <a:off x="0" y="0"/>
                      <a:ext cx="2895600" cy="21907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где: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14375" cy="228600"/>
            <wp:effectExtent l="19050" t="0" r="9525" b="0"/>
            <wp:docPr id="8" name="Рисунок 8" descr="https://www.garant.ru/files/9/9/1381499/pict131-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ant.ru/files/9/9/1381499/pict131-74192718.png"/>
                    <pic:cNvPicPr>
                      <a:picLocks noChangeAspect="1" noChangeArrowheads="1"/>
                    </pic:cNvPicPr>
                  </pic:nvPicPr>
                  <pic:blipFill>
                    <a:blip r:embed="rId18"/>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23900" cy="238125"/>
            <wp:effectExtent l="19050" t="0" r="0" b="0"/>
            <wp:docPr id="9" name="Рисунок 9" descr="https://www.garant.ru/files/9/9/1381499/pict132-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arant.ru/files/9/9/1381499/pict132-74192718.png"/>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количество учебных дней в году для обучающихся в 1-х классах, равное 165 дням в текущем финансовом году;</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876300" cy="228600"/>
            <wp:effectExtent l="19050" t="0" r="0" b="0"/>
            <wp:docPr id="10" name="Рисунок 10" descr="https://www.garant.ru/files/9/9/1381499/pict133-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arant.ru/files/9/9/1381499/pict133-74192718.png"/>
                    <pic:cNvPicPr>
                      <a:picLocks noChangeAspect="1" noChangeArrowheads="1"/>
                    </pic:cNvPicPr>
                  </pic:nvPicPr>
                  <pic:blipFill>
                    <a:blip r:embed="rId20"/>
                    <a:srcRect/>
                    <a:stretch>
                      <a:fillRect/>
                    </a:stretch>
                  </pic:blipFill>
                  <pic:spPr bwMode="auto">
                    <a:xfrm>
                      <a:off x="0" y="0"/>
                      <a:ext cx="876300"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533400" cy="133350"/>
            <wp:effectExtent l="19050" t="0" r="0" b="0"/>
            <wp:docPr id="11" name="Рисунок 11" descr="https://www.garant.ru/files/9/9/1381499/pict13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ant.ru/files/9/9/1381499/pict134-74192718.jpg"/>
                    <pic:cNvPicPr>
                      <a:picLocks noChangeAspect="1" noChangeArrowheads="1"/>
                    </pic:cNvPicPr>
                  </pic:nvPicPr>
                  <pic:blipFill>
                    <a:blip r:embed="rId21"/>
                    <a:srcRect/>
                    <a:stretch>
                      <a:fillRect/>
                    </a:stretch>
                  </pic:blipFill>
                  <pic:spPr bwMode="auto">
                    <a:xfrm>
                      <a:off x="0" y="0"/>
                      <a:ext cx="533400" cy="13335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9. Относительный показатель индекса цен на условный (минимальный) набор продуктов питания в i-м субъекте Российской Федерации (</w:t>
      </w:r>
      <w:r>
        <w:rPr>
          <w:rFonts w:ascii="Arial" w:eastAsia="Times New Roman" w:hAnsi="Arial" w:cs="Arial"/>
          <w:noProof/>
          <w:color w:val="333333"/>
          <w:sz w:val="23"/>
          <w:szCs w:val="23"/>
        </w:rPr>
        <w:drawing>
          <wp:inline distT="0" distB="0" distL="0" distR="0">
            <wp:extent cx="866775" cy="228600"/>
            <wp:effectExtent l="19050" t="0" r="9525" b="0"/>
            <wp:docPr id="12" name="Рисунок 12" descr="https://www.garant.ru/files/9/9/1381499/pict135-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rant.ru/files/9/9/1381499/pict135-74192718.png"/>
                    <pic:cNvPicPr>
                      <a:picLocks noChangeAspect="1" noChangeArrowheads="1"/>
                    </pic:cNvPicPr>
                  </pic:nvPicPr>
                  <pic:blipFill>
                    <a:blip r:embed="rId22"/>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определяется по формуле: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876300" cy="247650"/>
            <wp:effectExtent l="19050" t="0" r="0" b="0"/>
            <wp:docPr id="13" name="Рисунок 13" descr="https://www.garant.ru/files/9/9/1381499/pict13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rant.ru/files/9/9/1381499/pict136-74192718.jpg"/>
                    <pic:cNvPicPr>
                      <a:picLocks noChangeAspect="1" noChangeArrowheads="1"/>
                    </pic:cNvPicPr>
                  </pic:nvPicPr>
                  <pic:blipFill>
                    <a:blip r:embed="rId23"/>
                    <a:srcRect/>
                    <a:stretch>
                      <a:fillRect/>
                    </a:stretch>
                  </pic:blipFill>
                  <pic:spPr bwMode="auto">
                    <a:xfrm>
                      <a:off x="0" y="0"/>
                      <a:ext cx="876300" cy="24765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lastRenderedPageBreak/>
        <w:t>где: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171450" cy="228600"/>
            <wp:effectExtent l="19050" t="0" r="0" b="0"/>
            <wp:docPr id="14" name="Рисунок 14" descr="https://www.garant.ru/files/9/9/1381499/pict137-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rant.ru/files/9/9/1381499/pict137-74192718.png"/>
                    <pic:cNvPicPr>
                      <a:picLocks noChangeAspect="1" noChangeArrowheads="1"/>
                    </pic:cNvPicPr>
                  </pic:nvPicPr>
                  <pic:blipFill>
                    <a:blip r:embed="rId2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285750" cy="228600"/>
            <wp:effectExtent l="19050" t="0" r="0" b="0"/>
            <wp:docPr id="15" name="Рисунок 15" descr="https://www.garant.ru/files/9/9/1381499/pict13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arant.ru/files/9/9/1381499/pict138-74192718.png"/>
                    <pic:cNvPicPr>
                      <a:picLocks noChangeAspect="1" noChangeArrowheads="1"/>
                    </pic:cNvPicPr>
                  </pic:nvPicPr>
                  <pic:blipFill>
                    <a:blip r:embed="rId25"/>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10. В случае если рассчитанный на очередной финансовый год в соответствии с </w:t>
      </w:r>
      <w:hyperlink r:id="rId26" w:anchor="29007" w:history="1">
        <w:r w:rsidRPr="006E5BEE">
          <w:rPr>
            <w:rFonts w:ascii="Arial" w:eastAsia="Times New Roman" w:hAnsi="Arial" w:cs="Arial"/>
            <w:color w:val="808080"/>
            <w:sz w:val="23"/>
            <w:u w:val="single"/>
          </w:rPr>
          <w:t>пунктом 7</w:t>
        </w:r>
      </w:hyperlink>
      <w:r w:rsidRPr="006E5BEE">
        <w:rPr>
          <w:rFonts w:ascii="Arial" w:eastAsia="Times New Roman" w:hAnsi="Arial" w:cs="Arial"/>
          <w:color w:val="333333"/>
          <w:sz w:val="23"/>
          <w:szCs w:val="23"/>
        </w:rPr>
        <w:t>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(S</w:t>
      </w:r>
      <w:r w:rsidRPr="006E5BEE">
        <w:rPr>
          <w:rFonts w:ascii="Arial" w:eastAsia="Times New Roman" w:hAnsi="Arial" w:cs="Arial"/>
          <w:color w:val="333333"/>
          <w:sz w:val="20"/>
          <w:szCs w:val="20"/>
          <w:vertAlign w:val="subscript"/>
        </w:rPr>
        <w:t>i</w:t>
      </w:r>
      <w:r w:rsidRPr="006E5BEE">
        <w:rPr>
          <w:rFonts w:ascii="Arial" w:eastAsia="Times New Roman" w:hAnsi="Arial" w:cs="Arial"/>
          <w:color w:val="333333"/>
          <w:sz w:val="23"/>
          <w:szCs w:val="23"/>
        </w:rPr>
        <w:t>), определяется по формуле: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2552700" cy="342900"/>
            <wp:effectExtent l="19050" t="0" r="0" b="0"/>
            <wp:docPr id="16" name="Рисунок 16" descr="https://www.garant.ru/files/9/9/1381499/pict13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arant.ru/files/9/9/1381499/pict139-74192718.jpg"/>
                    <pic:cNvPicPr>
                      <a:picLocks noChangeAspect="1" noChangeArrowheads="1"/>
                    </pic:cNvPicPr>
                  </pic:nvPicPr>
                  <pic:blipFill>
                    <a:blip r:embed="rId27"/>
                    <a:srcRect/>
                    <a:stretch>
                      <a:fillRect/>
                    </a:stretch>
                  </pic:blipFill>
                  <pic:spPr bwMode="auto">
                    <a:xfrm>
                      <a:off x="0" y="0"/>
                      <a:ext cx="2552700" cy="3429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где:</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m - число субъектов Российской Федерации - получателей субсидии в соответствующем финансовом году;</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j - индекс суммирования;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333375" cy="228600"/>
            <wp:effectExtent l="19050" t="0" r="9525" b="0"/>
            <wp:docPr id="17" name="Рисунок 17" descr="https://www.garant.ru/files/9/9/1381499/pict14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arant.ru/files/9/9/1381499/pict140-74192718.png"/>
                    <pic:cNvPicPr>
                      <a:picLocks noChangeAspect="1" noChangeArrowheads="1"/>
                    </pic:cNvPicPr>
                  </pic:nvPicPr>
                  <pic:blipFill>
                    <a:blip r:embed="rId28"/>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6E5BEE">
        <w:rPr>
          <w:rFonts w:ascii="Arial" w:eastAsia="Times New Roman" w:hAnsi="Arial" w:cs="Arial"/>
          <w:color w:val="333333"/>
          <w:sz w:val="23"/>
          <w:szCs w:val="23"/>
        </w:rPr>
        <w:t> - объем бюджетных ассигнований федерального бюджета, предусмотренных на предоставление субсидий на цели, указанные в </w:t>
      </w:r>
      <w:hyperlink r:id="rId29" w:anchor="29001" w:history="1">
        <w:r w:rsidRPr="006E5BEE">
          <w:rPr>
            <w:rFonts w:ascii="Arial" w:eastAsia="Times New Roman" w:hAnsi="Arial" w:cs="Arial"/>
            <w:color w:val="808080"/>
            <w:sz w:val="23"/>
            <w:u w:val="single"/>
          </w:rPr>
          <w:t>пункте 1</w:t>
        </w:r>
      </w:hyperlink>
      <w:r w:rsidRPr="006E5BEE">
        <w:rPr>
          <w:rFonts w:ascii="Arial" w:eastAsia="Times New Roman" w:hAnsi="Arial" w:cs="Arial"/>
          <w:color w:val="333333"/>
          <w:sz w:val="23"/>
          <w:szCs w:val="23"/>
        </w:rPr>
        <w:t> настоящих Правил.</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w:t>
      </w:r>
      <w:r w:rsidRPr="006E5BEE">
        <w:rPr>
          <w:rFonts w:ascii="Arial" w:eastAsia="Times New Roman" w:hAnsi="Arial" w:cs="Arial"/>
          <w:color w:val="333333"/>
          <w:sz w:val="23"/>
          <w:szCs w:val="23"/>
        </w:rPr>
        <w:lastRenderedPageBreak/>
        <w:t>субъекта Российской Федерации) с учетом необходимости достижения установленного соглашением значения результата использования субсидии.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отчет о расходах бюджета субъекта Российской Федерации, на софинансирование которых предоставляется субсидия;</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отчет о достижении значения результата использования субсидии по формам, которые установлены в соглашении.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r w:rsidRPr="006E5BEE">
        <w:rPr>
          <w:rFonts w:ascii="Arial" w:eastAsia="Times New Roman" w:hAnsi="Arial" w:cs="Arial"/>
          <w:color w:val="333333"/>
          <w:sz w:val="20"/>
          <w:szCs w:val="20"/>
          <w:vertAlign w:val="superscript"/>
        </w:rPr>
        <w:t>1</w:t>
      </w:r>
      <w:r w:rsidRPr="006E5BEE">
        <w:rPr>
          <w:rFonts w:ascii="Arial" w:eastAsia="Times New Roman" w:hAnsi="Arial" w:cs="Arial"/>
          <w:color w:val="333333"/>
          <w:sz w:val="23"/>
          <w:szCs w:val="23"/>
        </w:rPr>
        <w:t>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пунктом 20 Правил формирования, предоставления и распределения субсидий.</w:t>
      </w:r>
    </w:p>
    <w:p w:rsidR="00F16571" w:rsidRPr="006E5BEE" w:rsidRDefault="00F16571" w:rsidP="00F16571">
      <w:pPr>
        <w:shd w:val="clear" w:color="auto" w:fill="FFFFFF"/>
        <w:spacing w:after="255" w:line="270" w:lineRule="atLeast"/>
        <w:rPr>
          <w:rFonts w:ascii="Arial" w:eastAsia="Times New Roman" w:hAnsi="Arial" w:cs="Arial"/>
          <w:color w:val="333333"/>
          <w:sz w:val="23"/>
          <w:szCs w:val="23"/>
        </w:rPr>
      </w:pPr>
      <w:r w:rsidRPr="006E5BEE">
        <w:rPr>
          <w:rFonts w:ascii="Arial" w:eastAsia="Times New Roman" w:hAnsi="Arial" w:cs="Arial"/>
          <w:color w:val="333333"/>
          <w:sz w:val="23"/>
          <w:szCs w:val="23"/>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
    <w:p w:rsidR="00F16571" w:rsidRDefault="00F16571" w:rsidP="00F16571"/>
    <w:p w:rsidR="00940C0D" w:rsidRDefault="00940C0D"/>
    <w:sectPr w:rsidR="00940C0D" w:rsidSect="000B4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16571"/>
    <w:rsid w:val="00940C0D"/>
    <w:rsid w:val="00F16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6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6571"/>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F16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92718/" TargetMode="Externa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s://www.garant.ru/products/ipo/prime/doc/74192718/" TargetMode="Externa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s://www.garant.ru/products/ipo/prime/doc/74192718/" TargetMode="Externa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www.garant.ru/products/ipo/prime/doc/74192718/" TargetMode="External"/><Relationship Id="rId1" Type="http://schemas.openxmlformats.org/officeDocument/2006/relationships/styles" Target="styles.xml"/><Relationship Id="rId6" Type="http://schemas.openxmlformats.org/officeDocument/2006/relationships/hyperlink" Target="https://www.garant.ru/products/ipo/prime/doc/74192718/" TargetMode="External"/><Relationship Id="rId11" Type="http://schemas.openxmlformats.org/officeDocument/2006/relationships/hyperlink" Target="https://www.garant.ru/products/ipo/prime/doc/74192718/" TargetMode="External"/><Relationship Id="rId24" Type="http://schemas.openxmlformats.org/officeDocument/2006/relationships/image" Target="media/image14.png"/><Relationship Id="rId5" Type="http://schemas.openxmlformats.org/officeDocument/2006/relationships/hyperlink" Target="https://www.garant.ru/products/ipo/prime/doc/74192718/" TargetMode="Externa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hyperlink" Target="https://www.garant.ru/products/ipo/prime/doc/74192718/" TargetMode="External"/><Relationship Id="rId9" Type="http://schemas.openxmlformats.org/officeDocument/2006/relationships/image" Target="media/image1.jpeg"/><Relationship Id="rId14" Type="http://schemas.openxmlformats.org/officeDocument/2006/relationships/hyperlink" Target="https://www.garant.ru/products/ipo/prime/doc/74192718/" TargetMode="External"/><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13662</Characters>
  <Application>Microsoft Office Word</Application>
  <DocSecurity>0</DocSecurity>
  <Lines>113</Lines>
  <Paragraphs>32</Paragraphs>
  <ScaleCrop>false</ScaleCrop>
  <Company>Krokoz™</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Сетолово</dc:creator>
  <cp:keywords/>
  <dc:description/>
  <cp:lastModifiedBy>Сетолово</cp:lastModifiedBy>
  <cp:revision>2</cp:revision>
  <dcterms:created xsi:type="dcterms:W3CDTF">2020-12-08T07:26:00Z</dcterms:created>
  <dcterms:modified xsi:type="dcterms:W3CDTF">2020-12-08T07:26:00Z</dcterms:modified>
</cp:coreProperties>
</file>